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0"/>
          <w:szCs w:val="20"/>
        </w:rPr>
      </w:pPr>
      <w:bookmarkStart w:colFirst="0" w:colLast="0" w:name="_heading=h.4doc3arap8vb" w:id="0"/>
      <w:bookmarkEnd w:id="0"/>
      <w:r w:rsidDel="00000000" w:rsidR="00000000" w:rsidRPr="00000000">
        <w:rPr>
          <w:rtl w:val="0"/>
        </w:rPr>
      </w:r>
    </w:p>
    <w:tbl>
      <w:tblPr>
        <w:tblStyle w:val="Table1"/>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050"/>
        <w:tblGridChange w:id="0">
          <w:tblGrid>
            <w:gridCol w:w="2025"/>
            <w:gridCol w:w="70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Aspire 2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Equal Opportunities Policy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Charlie Clare, Chair of Trustees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Approval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Reviewed Every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2 Years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11th September 2027</w:t>
            </w:r>
          </w:p>
        </w:tc>
      </w:tr>
    </w:tbl>
    <w:p w:rsidR="00000000" w:rsidDel="00000000" w:rsidP="00000000" w:rsidRDefault="00000000" w:rsidRPr="00000000" w14:paraId="0000000C">
      <w:pPr>
        <w:rPr>
          <w:rFonts w:ascii="Arial" w:cs="Arial" w:eastAsia="Arial" w:hAnsi="Arial"/>
          <w:sz w:val="20"/>
          <w:szCs w:val="20"/>
        </w:rPr>
      </w:pPr>
      <w:bookmarkStart w:colFirst="0" w:colLast="0" w:name="_heading=h.mrk06o75t8x0" w:id="1"/>
      <w:bookmarkEnd w:id="1"/>
      <w:r w:rsidDel="00000000" w:rsidR="00000000" w:rsidRPr="00000000">
        <w:rPr>
          <w:rtl w:val="0"/>
        </w:rPr>
      </w:r>
    </w:p>
    <w:p w:rsidR="00000000" w:rsidDel="00000000" w:rsidP="00000000" w:rsidRDefault="00000000" w:rsidRPr="00000000" w14:paraId="0000000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jc w:val="center"/>
        <w:rPr>
          <w:rFonts w:ascii="Arial" w:cs="Arial" w:eastAsia="Arial" w:hAnsi="Arial"/>
          <w:b w:val="1"/>
          <w:bCs w:val="1"/>
          <w:sz w:val="20"/>
          <w:szCs w:val="20"/>
        </w:rPr>
      </w:pPr>
      <w:sdt>
        <w:sdtPr>
          <w:id w:val="-1255278131"/>
          <w:tag w:val="goog_rdk_0"/>
        </w:sdtPr>
        <w:sdtContent>
          <w:commentRangeStart w:id="0"/>
        </w:sdtContent>
      </w:sdt>
      <w:r w:rsidDel="00000000" w:rsidR="00000000" w:rsidRPr="00000000">
        <w:rPr>
          <w:rFonts w:ascii="Arial" w:cs="Arial" w:eastAsia="Arial" w:hAnsi="Arial"/>
          <w:b w:val="1"/>
          <w:bCs w:val="1"/>
          <w:rtl w:val="0"/>
        </w:rPr>
        <w:t xml:space="preserve">Equal Opportunities Policy</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General Statement of Intent</w:t>
      </w:r>
    </w:p>
    <w:p w:rsidR="00000000" w:rsidDel="00000000" w:rsidP="00000000" w:rsidRDefault="00000000" w:rsidRPr="00000000" w14:paraId="00000010">
      <w:pPr>
        <w:rPr>
          <w:rFonts w:ascii="Arial" w:cs="Arial" w:eastAsia="Arial" w:hAnsi="Arial"/>
          <w:sz w:val="20"/>
          <w:szCs w:val="20"/>
        </w:rPr>
      </w:pPr>
      <w:r w:rsidDel="00000000" w:rsidR="00000000" w:rsidRPr="00000000">
        <w:rPr>
          <w:rFonts w:ascii="Arial" w:cs="Arial" w:eastAsia="Arial" w:hAnsi="Arial"/>
          <w:sz w:val="20"/>
          <w:szCs w:val="20"/>
          <w:rtl w:val="0"/>
        </w:rPr>
        <w:t xml:space="preserve">Aspire2 is committed to providing equal opportunities in employment and to abide by all employment and equality law. This policy sets out the organisation's position on equal opportunity in all aspects of employment, giving guidance and encouragement to employees at all levels to act fairly and prevent discrimination on the grounds of sex, race, marital status, part-time and fixed term contract status, age, sexual orientation or religion. Compliance with this policy should also ensure that team members do not commit unlawful acts of discrimination. </w:t>
      </w:r>
    </w:p>
    <w:p w:rsidR="00000000" w:rsidDel="00000000" w:rsidP="00000000" w:rsidRDefault="00000000" w:rsidRPr="00000000" w14:paraId="00000011">
      <w:pPr>
        <w:rPr>
          <w:rFonts w:ascii="Arial" w:cs="Arial" w:eastAsia="Arial" w:hAnsi="Arial"/>
          <w:b w:val="1"/>
          <w:bCs w:val="1"/>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b w:val="1"/>
          <w:bCs w:val="1"/>
          <w:sz w:val="20"/>
          <w:szCs w:val="20"/>
          <w:rtl w:val="0"/>
        </w:rPr>
        <w:t xml:space="preserve">The Law </w:t>
      </w:r>
    </w:p>
    <w:p w:rsidR="00000000" w:rsidDel="00000000" w:rsidP="00000000" w:rsidRDefault="00000000" w:rsidRPr="00000000" w14:paraId="00000012">
      <w:pPr>
        <w:rPr>
          <w:rFonts w:ascii="Arial" w:cs="Arial" w:eastAsia="Arial" w:hAnsi="Arial"/>
          <w:sz w:val="20"/>
          <w:szCs w:val="20"/>
        </w:rPr>
      </w:pPr>
      <w:r w:rsidDel="00000000" w:rsidR="00000000" w:rsidRPr="00000000">
        <w:rPr>
          <w:rFonts w:ascii="Arial" w:cs="Arial" w:eastAsia="Arial" w:hAnsi="Arial"/>
          <w:sz w:val="20"/>
          <w:szCs w:val="20"/>
          <w:rtl w:val="0"/>
        </w:rPr>
        <w:t xml:space="preserve">It is unlawful to discriminate directly or indirectly in recruitment or employment because of age, disability, gender, gender reassignment, pregnancy, maternity, race (which includes colour, nationality and ethnic or national origins), sexual orientation, religion, or belief, or because someone is married or in a civil partnership. These are known as "protected characteristics". </w:t>
      </w:r>
    </w:p>
    <w:p w:rsidR="00000000" w:rsidDel="00000000" w:rsidP="00000000" w:rsidRDefault="00000000" w:rsidRPr="00000000" w14:paraId="0000001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It is unlawful for an employer to fail to make reasonable adjustments to its requirements, working practices or the physical features of the workplace where these put a disabled job applicant or team member at a substantial disadvantage. It is also unlawful discrimination where a disabled team member is at a substantial disadvantage due to the employer's unreasonable failure to provide an auxiliary aid or service to the disabled team member. Discrimination after employment may also be unlawful, e.g. refusing to give a reference for a reason related to one of the protected characteristics. </w:t>
        <w:br w:type="textWrapping"/>
      </w:r>
    </w:p>
    <w:p w:rsidR="00000000" w:rsidDel="00000000" w:rsidP="00000000" w:rsidRDefault="00000000" w:rsidRPr="00000000" w14:paraId="00000015">
      <w:pPr>
        <w:rPr>
          <w:rFonts w:ascii="Arial" w:cs="Arial" w:eastAsia="Arial" w:hAnsi="Arial"/>
          <w:sz w:val="20"/>
          <w:szCs w:val="20"/>
        </w:rPr>
      </w:pPr>
      <w:r w:rsidDel="00000000" w:rsidR="00000000" w:rsidRPr="00000000">
        <w:rPr>
          <w:rFonts w:ascii="Arial" w:cs="Arial" w:eastAsia="Arial" w:hAnsi="Arial"/>
          <w:sz w:val="20"/>
          <w:szCs w:val="20"/>
          <w:rtl w:val="0"/>
        </w:rPr>
        <w:t xml:space="preserve">Team members should not discriminate against or harass a member of the public in the provision of services, goods or facilities. It is unlawful to fail to make reasonable adjustments to overcome barriers to using services caused by disability. The duty to make reasonable adjustments includes the removal, adaptation or alteration of physical features, if the physical features make it impossible or unreasonably difficult for disabled people to make use of services. In addition, service providers have an obligation to think ahead and make reasonable adjustments to address any barriers that may impede disabled people from accessing a service. </w:t>
      </w:r>
    </w:p>
    <w:p w:rsidR="00000000" w:rsidDel="00000000" w:rsidP="00000000" w:rsidRDefault="00000000" w:rsidRPr="00000000" w14:paraId="00000016">
      <w:pPr>
        <w:rPr>
          <w:rFonts w:ascii="Arial" w:cs="Arial" w:eastAsia="Arial" w:hAnsi="Arial"/>
          <w:b w:val="1"/>
          <w:bCs w:val="1"/>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b w:val="1"/>
          <w:bCs w:val="1"/>
          <w:sz w:val="20"/>
          <w:szCs w:val="20"/>
          <w:rtl w:val="0"/>
        </w:rPr>
        <w:t xml:space="preserve">Equal opportunities in employment </w:t>
      </w:r>
    </w:p>
    <w:p w:rsidR="00000000" w:rsidDel="00000000" w:rsidP="00000000" w:rsidRDefault="00000000" w:rsidRPr="00000000" w14:paraId="00000017">
      <w:pPr>
        <w:rPr>
          <w:rFonts w:ascii="Arial" w:cs="Arial" w:eastAsia="Arial" w:hAnsi="Arial"/>
          <w:sz w:val="20"/>
          <w:szCs w:val="20"/>
        </w:rPr>
      </w:pPr>
      <w:r w:rsidDel="00000000" w:rsidR="00000000" w:rsidRPr="00000000">
        <w:rPr>
          <w:rFonts w:ascii="Arial" w:cs="Arial" w:eastAsia="Arial" w:hAnsi="Arial"/>
          <w:sz w:val="20"/>
          <w:szCs w:val="20"/>
          <w:rtl w:val="0"/>
        </w:rPr>
        <w:t xml:space="preserve">Aspire2 will avoid unlawful discrimination in all aspects of employment including recruitment, promotion, opportunities for training, pay and benefits, discipline and selection for redundancy. </w:t>
        <w:br w:type="textWrapping"/>
      </w:r>
    </w:p>
    <w:p w:rsidR="00000000" w:rsidDel="00000000" w:rsidP="00000000" w:rsidRDefault="00000000" w:rsidRPr="00000000" w14:paraId="00000018">
      <w:pPr>
        <w:rPr>
          <w:rFonts w:ascii="Arial" w:cs="Arial" w:eastAsia="Arial" w:hAnsi="Arial"/>
          <w:sz w:val="20"/>
          <w:szCs w:val="20"/>
        </w:rPr>
      </w:pPr>
      <w:r w:rsidDel="00000000" w:rsidR="00000000" w:rsidRPr="00000000">
        <w:rPr>
          <w:rFonts w:ascii="Arial" w:cs="Arial" w:eastAsia="Arial" w:hAnsi="Arial"/>
          <w:sz w:val="20"/>
          <w:szCs w:val="20"/>
          <w:rtl w:val="0"/>
        </w:rPr>
        <w:t xml:space="preserve">Person and job specifications will be limited to those requirements that are necessary for the effective performance of the job. Candidates for employment or promotion will be assessed objectively against the requirements for the job, taking account of any reasonable adjustments that may be required for candidates with a disability.</w:t>
      </w:r>
    </w:p>
    <w:p w:rsidR="00000000" w:rsidDel="00000000" w:rsidP="00000000" w:rsidRDefault="00000000" w:rsidRPr="00000000" w14:paraId="0000001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rPr>
          <w:rFonts w:ascii="Arial" w:cs="Arial" w:eastAsia="Arial" w:hAnsi="Arial"/>
          <w:sz w:val="20"/>
          <w:szCs w:val="20"/>
        </w:rPr>
      </w:pPr>
      <w:r w:rsidDel="00000000" w:rsidR="00000000" w:rsidRPr="00000000">
        <w:rPr>
          <w:rFonts w:ascii="Arial" w:cs="Arial" w:eastAsia="Arial" w:hAnsi="Arial"/>
          <w:sz w:val="20"/>
          <w:szCs w:val="20"/>
          <w:rtl w:val="0"/>
        </w:rPr>
        <w:t xml:space="preserve">The organisation will consider any possible indirectly discriminatory effect of its standard working practices, including the number of hours to be worked, the times at which these are to be worked and the place at which work is to be done, when considering requests for variations to working practices and will refuse such requests only if it considers it has good reasons, unrelated to any protected characteristic, for doing so. </w:t>
      </w:r>
    </w:p>
    <w:p w:rsidR="00000000" w:rsidDel="00000000" w:rsidP="00000000" w:rsidRDefault="00000000" w:rsidRPr="00000000" w14:paraId="0000001F">
      <w:pPr>
        <w:rPr>
          <w:rFonts w:ascii="Arial" w:cs="Arial" w:eastAsia="Arial" w:hAnsi="Arial"/>
          <w:sz w:val="20"/>
          <w:szCs w:val="20"/>
        </w:rPr>
      </w:pP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b w:val="1"/>
          <w:bCs w:val="1"/>
          <w:sz w:val="20"/>
          <w:szCs w:val="20"/>
          <w:rtl w:val="0"/>
        </w:rPr>
        <w:t xml:space="preserve">Other people not employed by or Team members of Aspire2</w:t>
      </w:r>
      <w:r w:rsidDel="00000000" w:rsidR="00000000" w:rsidRPr="00000000">
        <w:rPr>
          <w:rtl w:val="0"/>
        </w:rPr>
      </w:r>
    </w:p>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Aspire2 will not discriminate unlawfully against individuals using or seeking to use goods, facilities or services provided by the organisation. Team members should report any bullying or harassment by anyone related to the organisation to their manager or Chair of Trustees as appropriate. </w:t>
      </w:r>
    </w:p>
    <w:p w:rsidR="00000000" w:rsidDel="00000000" w:rsidP="00000000" w:rsidRDefault="00000000" w:rsidRPr="00000000" w14:paraId="00000021">
      <w:pPr>
        <w:rPr>
          <w:rFonts w:ascii="Arial" w:cs="Arial" w:eastAsia="Arial" w:hAnsi="Arial"/>
          <w:b w:val="1"/>
          <w:bCs w:val="1"/>
          <w:sz w:val="20"/>
          <w:szCs w:val="20"/>
        </w:rPr>
      </w:pPr>
      <w:r w:rsidDel="00000000" w:rsidR="00000000" w:rsidRPr="00000000">
        <w:rPr>
          <w:rFonts w:ascii="Arial" w:cs="Arial" w:eastAsia="Arial" w:hAnsi="Arial"/>
          <w:sz w:val="20"/>
          <w:szCs w:val="20"/>
          <w:rtl w:val="0"/>
        </w:rPr>
        <w:br w:type="textWrapping"/>
      </w:r>
      <w:sdt>
        <w:sdtPr>
          <w:id w:val="-1571994996"/>
          <w:tag w:val="goog_rdk_1"/>
        </w:sdtPr>
        <w:sdtContent>
          <w:commentRangeStart w:id="1"/>
        </w:sdtContent>
      </w:sdt>
      <w:r w:rsidDel="00000000" w:rsidR="00000000" w:rsidRPr="00000000">
        <w:rPr>
          <w:rFonts w:ascii="Arial" w:cs="Arial" w:eastAsia="Arial" w:hAnsi="Arial"/>
          <w:b w:val="1"/>
          <w:bCs w:val="1"/>
          <w:sz w:val="20"/>
          <w:szCs w:val="20"/>
          <w:rtl w:val="0"/>
        </w:rPr>
        <w:t xml:space="preserve">Training </w:t>
      </w:r>
    </w:p>
    <w:p w:rsidR="00000000" w:rsidDel="00000000" w:rsidP="00000000" w:rsidRDefault="00000000" w:rsidRPr="00000000" w14:paraId="00000022">
      <w:pP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Aspire2 will provide appropriate training to managers and others likely to be involved in recruitment or other decision making where equal opportunities issues are likely to arise, and to enable them to deal more effectively with complaints of bullying and harassment. </w:t>
      </w:r>
      <w:commentRangeEnd w:id="1"/>
      <w:r w:rsidDel="00000000" w:rsidR="00000000" w:rsidRPr="00000000">
        <w:commentReference w:id="1"/>
      </w:r>
      <w:r w:rsidDel="00000000" w:rsidR="00000000" w:rsidRPr="00000000">
        <w:rPr>
          <w:rFonts w:ascii="Arial" w:cs="Arial" w:eastAsia="Arial" w:hAnsi="Arial"/>
          <w:sz w:val="20"/>
          <w:szCs w:val="20"/>
          <w:rtl w:val="0"/>
        </w:rPr>
        <w:br w:type="textWrapping"/>
      </w:r>
      <w:r w:rsidDel="00000000" w:rsidR="00000000" w:rsidRPr="00000000">
        <w:rPr>
          <w:rtl w:val="0"/>
        </w:rPr>
      </w:r>
    </w:p>
    <w:p w:rsidR="00000000" w:rsidDel="00000000" w:rsidP="00000000" w:rsidRDefault="00000000" w:rsidRPr="00000000" w14:paraId="0000002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Team member responsibilities </w:t>
      </w:r>
    </w:p>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Every team member is required to assist the organisation to meet its commitment to provide equal opportunities in employment and avoid unlawful discrimination. Employees can be held personally liable as well as, or instead of, the organisation for any act of unlawful discrimination. Employees who commit serious acts of harassment may be guilty of a criminal offence. Acts of discrimination, harassment, bullying or victimisation against team members or clients are disciplinary offences and will be dealt with under Aspire2's disciplinary procedure. Discrimination, harassment, bullying or victimisation may constitute gross misconduct and could lead to dismissal without notice. </w:t>
      </w:r>
    </w:p>
    <w:p w:rsidR="00000000" w:rsidDel="00000000" w:rsidP="00000000" w:rsidRDefault="00000000" w:rsidRPr="00000000" w14:paraId="0000002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Grievances </w:t>
      </w:r>
    </w:p>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If you consider that you may have been unlawfully discriminated against, you may use Aspire2’s grievance procedure to make a complaint. Aspire2 will take any complaint seriously and will seek to resolve any grievance that it upholds. You will not be penalised for raising a grievance, even if your grievance is not upheld, unless your complaint is both untrue and made in bad faith. </w:t>
      </w:r>
    </w:p>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Use of the organisation's grievance procedure does not affect your right to make a complaint to an employment tribunal. Complaints to an employment tribunal must normally be made within three months beginning with the act of discrimination complained of. </w:t>
      </w:r>
    </w:p>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ary Waite" w:id="0" w:date="2023-03-15T18:28:00Z">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Source of this draft policy is Get Further an Education Charity established 5 years ago to provide 121 Tutoring Maths and English to post 16 year olds.</w:t>
        <w:br w:type="textWrapping"/>
        <w:t xml:space="preserve">https://getfurther.org.uk/</w:t>
        <w:br w:type="textWrapping"/>
        <w:br w:type="textWrapping"/>
        <w:t xml:space="preserve">CEO Sarah Waite</w:t>
      </w:r>
    </w:p>
  </w:comment>
  <w:comment w:author="Mary Waite" w:id="1" w:date="2023-03-15T16:18:00Z">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Possible budget implication for training. At minimum it might be that records are kept of why immediate training not needed ie. Recently trained elsewhere..</w:t>
        <w:br w:type="textWrapping"/>
        <w:br w:type="textWrapping"/>
        <w:t xml:space="preserve">According to their website RVA regularly hosts the following training sessions on topics to help you run your charity or community group including Equality Diversity and Inclusion contact  training@rva.org.uk for further info. Costs etc.</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C" w15:done="0"/>
  <w15:commentEx w15:paraId="0000002D"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pPr>
    <w:r w:rsidDel="00000000" w:rsidR="00000000" w:rsidRPr="00000000">
      <w:rPr/>
      <w:drawing>
        <wp:inline distB="114300" distT="114300" distL="114300" distR="114300">
          <wp:extent cx="1090613" cy="116793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90613" cy="11679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EA7EED"/>
    <w:pPr>
      <w:autoSpaceDE w:val="0"/>
      <w:autoSpaceDN w:val="0"/>
      <w:adjustRightInd w:val="0"/>
    </w:pPr>
    <w:rPr>
      <w:rFonts w:ascii="Nunito Black" w:cs="Nunito Black" w:hAnsi="Nunito Black"/>
      <w:color w:val="000000"/>
    </w:rPr>
  </w:style>
  <w:style w:type="paragraph" w:styleId="Header">
    <w:name w:val="header"/>
    <w:basedOn w:val="Normal"/>
    <w:link w:val="HeaderChar"/>
    <w:uiPriority w:val="99"/>
    <w:unhideWhenUsed w:val="1"/>
    <w:rsid w:val="00ED5F6F"/>
    <w:pPr>
      <w:tabs>
        <w:tab w:val="center" w:pos="4513"/>
        <w:tab w:val="right" w:pos="9026"/>
      </w:tabs>
    </w:pPr>
  </w:style>
  <w:style w:type="character" w:styleId="HeaderChar" w:customStyle="1">
    <w:name w:val="Header Char"/>
    <w:basedOn w:val="DefaultParagraphFont"/>
    <w:link w:val="Header"/>
    <w:uiPriority w:val="99"/>
    <w:rsid w:val="00ED5F6F"/>
  </w:style>
  <w:style w:type="paragraph" w:styleId="Footer">
    <w:name w:val="footer"/>
    <w:basedOn w:val="Normal"/>
    <w:link w:val="FooterChar"/>
    <w:uiPriority w:val="99"/>
    <w:unhideWhenUsed w:val="1"/>
    <w:rsid w:val="00ED5F6F"/>
    <w:pPr>
      <w:tabs>
        <w:tab w:val="center" w:pos="4513"/>
        <w:tab w:val="right" w:pos="9026"/>
      </w:tabs>
    </w:pPr>
  </w:style>
  <w:style w:type="character" w:styleId="FooterChar" w:customStyle="1">
    <w:name w:val="Footer Char"/>
    <w:basedOn w:val="DefaultParagraphFont"/>
    <w:link w:val="Footer"/>
    <w:uiPriority w:val="99"/>
    <w:rsid w:val="00ED5F6F"/>
  </w:style>
  <w:style w:type="character" w:styleId="CommentReference">
    <w:name w:val="annotation reference"/>
    <w:basedOn w:val="DefaultParagraphFont"/>
    <w:uiPriority w:val="99"/>
    <w:semiHidden w:val="1"/>
    <w:unhideWhenUsed w:val="1"/>
    <w:rsid w:val="00F033DB"/>
    <w:rPr>
      <w:sz w:val="16"/>
      <w:szCs w:val="16"/>
    </w:rPr>
  </w:style>
  <w:style w:type="paragraph" w:styleId="CommentText">
    <w:name w:val="annotation text"/>
    <w:basedOn w:val="Normal"/>
    <w:link w:val="CommentTextChar"/>
    <w:uiPriority w:val="99"/>
    <w:semiHidden w:val="1"/>
    <w:unhideWhenUsed w:val="1"/>
    <w:rsid w:val="00F033DB"/>
    <w:rPr>
      <w:sz w:val="20"/>
      <w:szCs w:val="20"/>
    </w:rPr>
  </w:style>
  <w:style w:type="character" w:styleId="CommentTextChar" w:customStyle="1">
    <w:name w:val="Comment Text Char"/>
    <w:basedOn w:val="DefaultParagraphFont"/>
    <w:link w:val="CommentText"/>
    <w:uiPriority w:val="99"/>
    <w:semiHidden w:val="1"/>
    <w:rsid w:val="00F033DB"/>
    <w:rPr>
      <w:sz w:val="20"/>
      <w:szCs w:val="20"/>
    </w:rPr>
  </w:style>
  <w:style w:type="paragraph" w:styleId="CommentSubject">
    <w:name w:val="annotation subject"/>
    <w:basedOn w:val="CommentText"/>
    <w:next w:val="CommentText"/>
    <w:link w:val="CommentSubjectChar"/>
    <w:uiPriority w:val="99"/>
    <w:semiHidden w:val="1"/>
    <w:unhideWhenUsed w:val="1"/>
    <w:rsid w:val="00F033DB"/>
    <w:rPr>
      <w:b w:val="1"/>
      <w:bCs w:val="1"/>
    </w:rPr>
  </w:style>
  <w:style w:type="character" w:styleId="CommentSubjectChar" w:customStyle="1">
    <w:name w:val="Comment Subject Char"/>
    <w:basedOn w:val="CommentTextChar"/>
    <w:link w:val="CommentSubject"/>
    <w:uiPriority w:val="99"/>
    <w:semiHidden w:val="1"/>
    <w:rsid w:val="00F033DB"/>
    <w:rPr>
      <w:b w:val="1"/>
      <w:bCs w:val="1"/>
      <w:sz w:val="20"/>
      <w:szCs w:val="20"/>
    </w:rPr>
  </w:style>
  <w:style w:type="character" w:styleId="Hyperlink">
    <w:name w:val="Hyperlink"/>
    <w:basedOn w:val="DefaultParagraphFont"/>
    <w:uiPriority w:val="99"/>
    <w:unhideWhenUsed w:val="1"/>
    <w:rsid w:val="009F45BF"/>
    <w:rPr>
      <w:color w:val="0563c1" w:themeColor="hyperlink"/>
      <w:u w:val="single"/>
    </w:rPr>
  </w:style>
  <w:style w:type="character" w:styleId="UnresolvedMention">
    <w:name w:val="Unresolved Mention"/>
    <w:basedOn w:val="DefaultParagraphFont"/>
    <w:uiPriority w:val="99"/>
    <w:semiHidden w:val="1"/>
    <w:unhideWhenUsed w:val="1"/>
    <w:rsid w:val="009F45B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8/1pSqo1Nj4pOpiPiD9iEqcIlA==">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2023-06-01T23:46:00Z</dcterms:created>
  <dc:creator>Microsoft Office User</dc:creator>
</cp:coreProperties>
</file>